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A3" w:rsidRDefault="00BF2BAF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6500" cy="8647019"/>
            <wp:effectExtent l="0" t="0" r="0" b="0"/>
            <wp:docPr id="1" name="Рисунок 1" descr="C:\Users\1\Desktop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4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CD" w:rsidRPr="006F1295" w:rsidRDefault="00E732CD" w:rsidP="006F1295">
      <w:pPr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E732CD" w:rsidRPr="006F1295" w:rsidRDefault="00E732CD" w:rsidP="006F1295">
      <w:pPr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lastRenderedPageBreak/>
        <w:t>Положение</w:t>
      </w:r>
    </w:p>
    <w:p w:rsidR="00E732CD" w:rsidRPr="006F1295" w:rsidRDefault="00E732CD" w:rsidP="006F1295">
      <w:pPr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О внутренней системе оценки качества образования </w:t>
      </w:r>
      <w:proofErr w:type="gramStart"/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</w:t>
      </w:r>
      <w:proofErr w:type="gramEnd"/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</w:p>
    <w:p w:rsidR="00E732CD" w:rsidRPr="006F1295" w:rsidRDefault="00E732CD" w:rsidP="006F1295">
      <w:pPr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МКОУ </w:t>
      </w:r>
      <w:proofErr w:type="spellStart"/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Чаузовская</w:t>
      </w:r>
      <w:proofErr w:type="spellEnd"/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основная общеобразовательная школа </w:t>
      </w:r>
    </w:p>
    <w:p w:rsidR="00E732CD" w:rsidRPr="006F1295" w:rsidRDefault="00E732CD" w:rsidP="006F1295">
      <w:pPr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proofErr w:type="spellStart"/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Топчихинского</w:t>
      </w:r>
      <w:proofErr w:type="spellEnd"/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района </w:t>
      </w:r>
    </w:p>
    <w:p w:rsidR="00E732CD" w:rsidRPr="006F1295" w:rsidRDefault="00E732CD" w:rsidP="006F1295">
      <w:pPr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6F1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Алтайского края</w:t>
      </w:r>
    </w:p>
    <w:p w:rsidR="004A3B6A" w:rsidRPr="00DE7E40" w:rsidRDefault="00DE7E40" w:rsidP="00E732CD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bookmarkStart w:id="0" w:name="_GoBack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bookmarkEnd w:id="0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ВСОКО) в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295" w:rsidRPr="006F1295" w:rsidRDefault="006F1295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6F1295" w:rsidRDefault="006F1295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</w:t>
      </w:r>
      <w:hyperlink r:id="rId7" w:history="1">
        <w:r w:rsidRPr="006F1295">
          <w:rPr>
            <w:rFonts w:ascii="Times New Roman" w:hAnsi="Times New Roman" w:cs="Times New Roman"/>
            <w:sz w:val="24"/>
            <w:szCs w:val="24"/>
            <w:lang w:val="ru-RU"/>
          </w:rPr>
          <w:t>закон</w:t>
        </w:r>
      </w:hyperlink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от 24 сентября 2022 г. </w:t>
      </w:r>
      <w:r w:rsidRPr="006F1295">
        <w:rPr>
          <w:rFonts w:ascii="Times New Roman" w:hAnsi="Times New Roman" w:cs="Times New Roman"/>
          <w:sz w:val="24"/>
          <w:szCs w:val="24"/>
        </w:rPr>
        <w:t>N</w:t>
      </w:r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  <w:r w:rsidR="00DE7E40" w:rsidRPr="006F1295">
        <w:rPr>
          <w:rFonts w:hAnsi="Times New Roman" w:cs="Times New Roman"/>
          <w:sz w:val="24"/>
          <w:szCs w:val="24"/>
          <w:lang w:val="ru-RU"/>
        </w:rPr>
        <w:t>;</w:t>
      </w:r>
    </w:p>
    <w:p w:rsidR="006F1295" w:rsidRPr="006F1295" w:rsidRDefault="006F1295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Приказы </w:t>
      </w:r>
      <w:proofErr w:type="spellStart"/>
      <w:r w:rsidRPr="006F129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 мая 2023 г. </w:t>
      </w:r>
      <w:hyperlink r:id="rId8" w:history="1">
        <w:r w:rsidRPr="006F1295">
          <w:rPr>
            <w:rFonts w:ascii="Times New Roman" w:hAnsi="Times New Roman" w:cs="Times New Roman"/>
            <w:sz w:val="24"/>
            <w:szCs w:val="24"/>
          </w:rPr>
          <w:t>N</w:t>
        </w:r>
        <w:r w:rsidRPr="006F1295">
          <w:rPr>
            <w:rFonts w:ascii="Times New Roman" w:hAnsi="Times New Roman" w:cs="Times New Roman"/>
            <w:sz w:val="24"/>
            <w:szCs w:val="24"/>
            <w:lang w:val="ru-RU"/>
          </w:rPr>
          <w:t xml:space="preserve"> 372</w:t>
        </w:r>
      </w:hyperlink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(зарегистрирован Минюстом России 12 июля 2023 г. </w:t>
      </w:r>
      <w:r w:rsidRPr="006F1295">
        <w:rPr>
          <w:rFonts w:ascii="Times New Roman" w:hAnsi="Times New Roman" w:cs="Times New Roman"/>
          <w:sz w:val="24"/>
          <w:szCs w:val="24"/>
        </w:rPr>
        <w:t>N</w:t>
      </w:r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74229), от 18 мая 2023 г. </w:t>
      </w:r>
      <w:hyperlink r:id="rId9" w:history="1">
        <w:r w:rsidRPr="006F1295">
          <w:rPr>
            <w:rFonts w:ascii="Times New Roman" w:hAnsi="Times New Roman" w:cs="Times New Roman"/>
            <w:sz w:val="24"/>
            <w:szCs w:val="24"/>
          </w:rPr>
          <w:t>N</w:t>
        </w:r>
        <w:r w:rsidRPr="006F1295">
          <w:rPr>
            <w:rFonts w:ascii="Times New Roman" w:hAnsi="Times New Roman" w:cs="Times New Roman"/>
            <w:sz w:val="24"/>
            <w:szCs w:val="24"/>
            <w:lang w:val="ru-RU"/>
          </w:rPr>
          <w:t xml:space="preserve"> 370</w:t>
        </w:r>
      </w:hyperlink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(зарегистрирован Минюстом России 12 июля 2023 г. </w:t>
      </w:r>
      <w:r w:rsidRPr="006F1295">
        <w:rPr>
          <w:rFonts w:ascii="Times New Roman" w:hAnsi="Times New Roman" w:cs="Times New Roman"/>
          <w:sz w:val="24"/>
          <w:szCs w:val="24"/>
        </w:rPr>
        <w:t>N</w:t>
      </w:r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74223), от 18 мая 2023 г. </w:t>
      </w:r>
      <w:hyperlink r:id="rId10" w:history="1">
        <w:r w:rsidRPr="006F1295">
          <w:rPr>
            <w:rFonts w:ascii="Times New Roman" w:hAnsi="Times New Roman" w:cs="Times New Roman"/>
            <w:sz w:val="24"/>
            <w:szCs w:val="24"/>
          </w:rPr>
          <w:t>N</w:t>
        </w:r>
        <w:r w:rsidRPr="006F1295">
          <w:rPr>
            <w:rFonts w:ascii="Times New Roman" w:hAnsi="Times New Roman" w:cs="Times New Roman"/>
            <w:sz w:val="24"/>
            <w:szCs w:val="24"/>
            <w:lang w:val="ru-RU"/>
          </w:rPr>
          <w:t xml:space="preserve"> 371</w:t>
        </w:r>
      </w:hyperlink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(зарегистрирован Минюстом России 12 июля 2023 г. </w:t>
      </w:r>
      <w:r w:rsidRPr="006F1295">
        <w:rPr>
          <w:rFonts w:ascii="Times New Roman" w:hAnsi="Times New Roman" w:cs="Times New Roman"/>
          <w:sz w:val="24"/>
          <w:szCs w:val="24"/>
        </w:rPr>
        <w:t>N</w:t>
      </w:r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74228).;</w:t>
      </w:r>
      <w:proofErr w:type="gramEnd"/>
    </w:p>
    <w:p w:rsidR="006F1295" w:rsidRPr="006F1295" w:rsidRDefault="006F1295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hyperlink r:id="rId11" w:history="1">
        <w:proofErr w:type="spellStart"/>
        <w:r w:rsidRPr="006F1295">
          <w:rPr>
            <w:rFonts w:ascii="Times New Roman" w:hAnsi="Times New Roman" w:cs="Times New Roman"/>
            <w:sz w:val="24"/>
            <w:szCs w:val="24"/>
            <w:lang w:val="ru-RU"/>
          </w:rPr>
          <w:t>Письмо</w:t>
        </w:r>
      </w:hyperlink>
      <w:r w:rsidRPr="006F129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14 июля 2023 г. </w:t>
      </w:r>
      <w:r w:rsidRPr="006F1295">
        <w:rPr>
          <w:rFonts w:ascii="Times New Roman" w:hAnsi="Times New Roman" w:cs="Times New Roman"/>
          <w:sz w:val="24"/>
          <w:szCs w:val="24"/>
        </w:rPr>
        <w:t>N</w:t>
      </w:r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03-1187 "О направлении информации </w:t>
      </w:r>
      <w:proofErr w:type="gramStart"/>
      <w:r w:rsidRPr="006F1295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6F1295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утвержденным ФООП";</w:t>
      </w:r>
    </w:p>
    <w:p w:rsidR="006F1295" w:rsidRPr="006F1295" w:rsidRDefault="006F1295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6F1295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6F1295">
        <w:rPr>
          <w:rFonts w:ascii="Times New Roman" w:hAnsi="Times New Roman" w:cs="Times New Roman"/>
          <w:lang w:val="ru-RU"/>
        </w:rPr>
        <w:t xml:space="preserve"> России от 19.11.2020 </w:t>
      </w:r>
      <w:r w:rsidRPr="00301C26">
        <w:rPr>
          <w:rFonts w:ascii="Times New Roman" w:hAnsi="Times New Roman" w:cs="Times New Roman"/>
        </w:rPr>
        <w:t>N</w:t>
      </w:r>
      <w:r w:rsidRPr="006F1295">
        <w:rPr>
          <w:rFonts w:ascii="Times New Roman" w:hAnsi="Times New Roman" w:cs="Times New Roman"/>
          <w:lang w:val="ru-RU"/>
        </w:rPr>
        <w:t xml:space="preserve"> ВБ-2141/03 "О методических рекомендациях" (вместе с "Методическими рекомендациями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</w:t>
      </w:r>
      <w:r>
        <w:rPr>
          <w:rFonts w:ascii="Times New Roman" w:hAnsi="Times New Roman" w:cs="Times New Roman"/>
          <w:lang w:val="ru-RU"/>
        </w:rPr>
        <w:t>х в сентябре - октябре 2020 г.";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A35BEF" w:rsidRPr="006F1295" w:rsidRDefault="00A35BEF" w:rsidP="006F1295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 потребностям участников образовательных отношений;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proofErr w:type="gramEnd"/>
      <w:r w:rsidR="006F129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proofErr w:type="gramEnd"/>
      <w:r w:rsidR="006F129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proofErr w:type="gramEnd"/>
      <w:r w:rsidR="006F129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="006F129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6F1295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DE7E40">
        <w:rPr>
          <w:rFonts w:hAnsi="Times New Roman" w:cs="Times New Roman"/>
          <w:color w:val="000000"/>
          <w:sz w:val="24"/>
          <w:szCs w:val="24"/>
        </w:rPr>
        <w:t>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lastRenderedPageBreak/>
        <w:t>диагностика</w:t>
      </w:r>
    </w:p>
    <w:p w:rsidR="004A3B6A" w:rsidRPr="00DE7E40" w:rsidRDefault="006F1295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DE7E40">
        <w:rPr>
          <w:rFonts w:hAnsi="Times New Roman" w:cs="Times New Roman"/>
          <w:color w:val="000000"/>
          <w:sz w:val="24"/>
          <w:szCs w:val="24"/>
        </w:rPr>
        <w:t>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6F1295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</w:t>
      </w:r>
      <w:r w:rsidR="00DE7E40">
        <w:rPr>
          <w:rFonts w:hAnsi="Times New Roman" w:cs="Times New Roman"/>
          <w:color w:val="000000"/>
          <w:sz w:val="24"/>
          <w:szCs w:val="24"/>
        </w:rPr>
        <w:t>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6F1295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</w:t>
      </w:r>
      <w:r w:rsidR="00DE7E40">
        <w:rPr>
          <w:rFonts w:hAnsi="Times New Roman" w:cs="Times New Roman"/>
          <w:color w:val="000000"/>
          <w:sz w:val="24"/>
          <w:szCs w:val="24"/>
        </w:rPr>
        <w:t>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6F1295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</w:t>
      </w:r>
      <w:r w:rsidR="00DE7E40">
        <w:rPr>
          <w:rFonts w:hAnsi="Times New Roman" w:cs="Times New Roman"/>
          <w:color w:val="000000"/>
          <w:sz w:val="24"/>
          <w:szCs w:val="24"/>
        </w:rPr>
        <w:t>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№189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УСЛОВИЙ,ОБЕСПЕЧИВАЮЩИХ ОБРАЗОВАТЕЛЬНУЮ ДЕЯТЕЛЬНОСТЬ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обеспечивающими образовательную деятельность, проводится в соответствии с планом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>Чаузовская</w:t>
      </w:r>
      <w:proofErr w:type="spellEnd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6F1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295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 w:rsidR="00BF2B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5"/>
        <w:gridCol w:w="3215"/>
        <w:gridCol w:w="1219"/>
        <w:gridCol w:w="1152"/>
        <w:gridCol w:w="1415"/>
        <w:gridCol w:w="1244"/>
      </w:tblGrid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="00BF2B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="00BF2B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="00BF2B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="00BF2B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="00BF2B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Количествосоциальныхпедагогов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оборудованного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площадь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электронных образовательных ресурсов, используемых при реализации рабочих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6F1295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480326"/>
    <w:rsid w:val="004A3B6A"/>
    <w:rsid w:val="004B23BC"/>
    <w:rsid w:val="004F7E17"/>
    <w:rsid w:val="005A05CE"/>
    <w:rsid w:val="00653AF6"/>
    <w:rsid w:val="006F1295"/>
    <w:rsid w:val="007044B5"/>
    <w:rsid w:val="00783EFE"/>
    <w:rsid w:val="00A35BEF"/>
    <w:rsid w:val="00B73A5A"/>
    <w:rsid w:val="00BE2587"/>
    <w:rsid w:val="00BF2BAF"/>
    <w:rsid w:val="00DE7E40"/>
    <w:rsid w:val="00E438A1"/>
    <w:rsid w:val="00E732CD"/>
    <w:rsid w:val="00E82F21"/>
    <w:rsid w:val="00EE0C96"/>
    <w:rsid w:val="00F0089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AC5F2CEBC784FCA6AAE713AABCFE6B28721AAA06061E61BA69A163000D1A4310D7D4FC554CF1691EF74CD01jCT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FAC5F2CEBC784FCA6AAE713AABCFE6B28024A9AA6561E61BA69A163000D1A4310D7D4FC554CF1691EF74CD01jCT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FAC5F2CEBC784FCA6AAE713AABCFE6B28721A2AC6C61E61BA69A163000D1A4310D7D4FC554CF1691EF74CD01jCT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FAC5F2CEBC784FCA6AAE713AABCFE6B28721AAA16461E61BA69A163000D1A4310D7D4FC554CF1691EF74CD01jCT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FAC5F2CEBC784FCA6AAE713AABCFE6B28721ABA16461E61BA69A163000D1A4310D7D4FC554CF1691EF74CD01jCT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cp:lastPrinted>2024-01-13T05:38:00Z</cp:lastPrinted>
  <dcterms:created xsi:type="dcterms:W3CDTF">2011-11-02T04:15:00Z</dcterms:created>
  <dcterms:modified xsi:type="dcterms:W3CDTF">2024-01-13T05:41:00Z</dcterms:modified>
</cp:coreProperties>
</file>